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86F" w:rsidRDefault="006F686F" w:rsidP="00655C92">
      <w:pPr>
        <w:spacing w:after="534" w:line="259" w:lineRule="auto"/>
        <w:ind w:left="360" w:right="-1413" w:firstLine="0"/>
        <w:jc w:val="left"/>
      </w:pPr>
    </w:p>
    <w:p w:rsidR="00655C92" w:rsidRPr="00655C92" w:rsidRDefault="00655C92" w:rsidP="00655C92">
      <w:pPr>
        <w:ind w:left="360" w:right="-1413" w:firstLine="0"/>
        <w:rPr>
          <w:b/>
          <w:sz w:val="28"/>
          <w:szCs w:val="28"/>
        </w:rPr>
      </w:pPr>
      <w:bookmarkStart w:id="0" w:name="_GoBack"/>
      <w:r w:rsidRPr="00655C92">
        <w:rPr>
          <w:b/>
          <w:sz w:val="28"/>
          <w:szCs w:val="28"/>
        </w:rPr>
        <w:t>MINERALS AND MINING (AMENDMENT) Act 900, 2015</w:t>
      </w:r>
    </w:p>
    <w:bookmarkEnd w:id="0"/>
    <w:p w:rsidR="00655C92" w:rsidRPr="00655C92" w:rsidRDefault="00655C92" w:rsidP="00655C92">
      <w:pPr>
        <w:spacing w:after="173" w:line="265" w:lineRule="auto"/>
        <w:ind w:left="360" w:right="-1413" w:firstLine="0"/>
        <w:jc w:val="center"/>
        <w:rPr>
          <w:sz w:val="28"/>
          <w:szCs w:val="28"/>
        </w:rPr>
      </w:pPr>
    </w:p>
    <w:p w:rsidR="006F686F" w:rsidRPr="00655C92" w:rsidRDefault="00BC6F01" w:rsidP="00655C92">
      <w:pPr>
        <w:spacing w:after="173" w:line="265" w:lineRule="auto"/>
        <w:ind w:left="360" w:right="-1413" w:firstLine="0"/>
        <w:jc w:val="center"/>
        <w:rPr>
          <w:b/>
          <w:sz w:val="28"/>
          <w:szCs w:val="28"/>
        </w:rPr>
      </w:pPr>
      <w:r w:rsidRPr="00655C92">
        <w:rPr>
          <w:b/>
          <w:sz w:val="28"/>
          <w:szCs w:val="28"/>
        </w:rPr>
        <w:t>ARRANGEMENT OF SECTIONS</w:t>
      </w:r>
    </w:p>
    <w:p w:rsidR="006F686F" w:rsidRPr="00655C92" w:rsidRDefault="00BC6F01" w:rsidP="00655C92">
      <w:pPr>
        <w:spacing w:after="192" w:line="259" w:lineRule="auto"/>
        <w:ind w:left="360" w:right="-1413" w:firstLine="0"/>
        <w:jc w:val="left"/>
        <w:rPr>
          <w:b/>
        </w:rPr>
      </w:pPr>
      <w:r w:rsidRPr="00655C92">
        <w:rPr>
          <w:b/>
          <w:noProof/>
          <w:sz w:val="22"/>
        </w:rPr>
        <mc:AlternateContent>
          <mc:Choice Requires="wpg">
            <w:drawing>
              <wp:anchor distT="0" distB="0" distL="114300" distR="114300" simplePos="0" relativeHeight="251658240" behindDoc="0" locked="0" layoutInCell="1" allowOverlap="1">
                <wp:simplePos x="0" y="0"/>
                <wp:positionH relativeFrom="page">
                  <wp:posOffset>85411</wp:posOffset>
                </wp:positionH>
                <wp:positionV relativeFrom="page">
                  <wp:posOffset>9107811</wp:posOffset>
                </wp:positionV>
                <wp:extent cx="6149592" cy="12201"/>
                <wp:effectExtent l="0" t="0" r="0" b="0"/>
                <wp:wrapTopAndBottom/>
                <wp:docPr id="11200" name="Group 11200"/>
                <wp:cNvGraphicFramePr/>
                <a:graphic xmlns:a="http://schemas.openxmlformats.org/drawingml/2006/main">
                  <a:graphicData uri="http://schemas.microsoft.com/office/word/2010/wordprocessingGroup">
                    <wpg:wgp>
                      <wpg:cNvGrpSpPr/>
                      <wpg:grpSpPr>
                        <a:xfrm>
                          <a:off x="0" y="0"/>
                          <a:ext cx="6149592" cy="12201"/>
                          <a:chOff x="0" y="0"/>
                          <a:chExt cx="6149592" cy="12201"/>
                        </a:xfrm>
                      </wpg:grpSpPr>
                      <wps:wsp>
                        <wps:cNvPr id="11199" name="Shape 11199"/>
                        <wps:cNvSpPr/>
                        <wps:spPr>
                          <a:xfrm>
                            <a:off x="0" y="0"/>
                            <a:ext cx="6149592" cy="12201"/>
                          </a:xfrm>
                          <a:custGeom>
                            <a:avLst/>
                            <a:gdLst/>
                            <a:ahLst/>
                            <a:cxnLst/>
                            <a:rect l="0" t="0" r="0" b="0"/>
                            <a:pathLst>
                              <a:path w="6149592" h="12201">
                                <a:moveTo>
                                  <a:pt x="0" y="6100"/>
                                </a:moveTo>
                                <a:lnTo>
                                  <a:pt x="6149592" y="6100"/>
                                </a:lnTo>
                              </a:path>
                            </a:pathLst>
                          </a:custGeom>
                          <a:ln w="12201"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1200" style="width:484.22pt;height:0.960693pt;position:absolute;mso-position-horizontal-relative:page;mso-position-horizontal:absolute;margin-left:6.72527pt;mso-position-vertical-relative:page;margin-top:717.15pt;" coordsize="61495,122">
                <v:shape id="Shape 11199" style="position:absolute;width:61495;height:122;left:0;top:0;" coordsize="6149592,12201" path="m0,6100l6149592,6100">
                  <v:stroke weight="0.960693pt" endcap="flat" joinstyle="miter" miterlimit="1" on="true" color="#000000"/>
                  <v:fill on="false" color="#000000"/>
                </v:shape>
                <w10:wrap type="topAndBottom"/>
              </v:group>
            </w:pict>
          </mc:Fallback>
        </mc:AlternateContent>
      </w:r>
      <w:r w:rsidRPr="00655C92">
        <w:rPr>
          <w:b/>
          <w:sz w:val="22"/>
        </w:rPr>
        <w:t>Section</w:t>
      </w:r>
    </w:p>
    <w:p w:rsidR="006F686F" w:rsidRDefault="00BC6F01" w:rsidP="00655C92">
      <w:pPr>
        <w:pStyle w:val="ListParagraph"/>
        <w:numPr>
          <w:ilvl w:val="0"/>
          <w:numId w:val="5"/>
        </w:numPr>
        <w:ind w:left="360" w:right="-1413" w:firstLine="0"/>
      </w:pPr>
      <w:r>
        <w:t>Section 25 of Act 703 amended</w:t>
      </w:r>
    </w:p>
    <w:p w:rsidR="006F686F" w:rsidRDefault="00BC6F01" w:rsidP="00655C92">
      <w:pPr>
        <w:pStyle w:val="ListParagraph"/>
        <w:numPr>
          <w:ilvl w:val="0"/>
          <w:numId w:val="5"/>
        </w:numPr>
        <w:ind w:left="360" w:right="-1413" w:firstLine="0"/>
      </w:pPr>
      <w:r>
        <w:t>Section 99 of Act 703 amended</w:t>
      </w:r>
    </w:p>
    <w:p w:rsidR="006F686F" w:rsidRDefault="00BC6F01" w:rsidP="00655C92">
      <w:pPr>
        <w:numPr>
          <w:ilvl w:val="0"/>
          <w:numId w:val="5"/>
        </w:numPr>
        <w:ind w:left="360" w:right="-1413" w:firstLine="0"/>
      </w:pPr>
      <w:r>
        <w:t>Section 106 Act 703 amended</w:t>
      </w:r>
    </w:p>
    <w:p w:rsidR="00655C92" w:rsidRDefault="00BC6F01" w:rsidP="00655C92">
      <w:pPr>
        <w:numPr>
          <w:ilvl w:val="0"/>
          <w:numId w:val="5"/>
        </w:numPr>
        <w:ind w:left="360" w:right="-1413" w:firstLine="0"/>
      </w:pPr>
      <w:r>
        <w:t>Se</w:t>
      </w:r>
      <w:r w:rsidR="00655C92">
        <w:t>ction 107 of Act 703 amended</w:t>
      </w:r>
    </w:p>
    <w:p w:rsidR="006F686F" w:rsidRDefault="00BC6F01" w:rsidP="00655C92">
      <w:pPr>
        <w:numPr>
          <w:ilvl w:val="0"/>
          <w:numId w:val="5"/>
        </w:numPr>
        <w:ind w:left="360" w:right="-1413" w:firstLine="0"/>
      </w:pPr>
      <w:r>
        <w:t>Section 110 of Act 703 amended</w:t>
      </w:r>
    </w:p>
    <w:p w:rsidR="006F686F" w:rsidRDefault="00BC6F01" w:rsidP="00655C92">
      <w:pPr>
        <w:pStyle w:val="ListParagraph"/>
        <w:numPr>
          <w:ilvl w:val="0"/>
          <w:numId w:val="5"/>
        </w:numPr>
        <w:ind w:left="360" w:right="-1413" w:firstLine="0"/>
      </w:pPr>
      <w:r>
        <w:t>Repeal and savings</w:t>
      </w:r>
      <w:r>
        <w:br w:type="page"/>
      </w:r>
    </w:p>
    <w:p w:rsidR="006F686F" w:rsidRPr="00655C92" w:rsidRDefault="00BC6F01" w:rsidP="00655C92">
      <w:pPr>
        <w:spacing w:after="405" w:line="259" w:lineRule="auto"/>
        <w:ind w:left="360" w:right="-1413" w:firstLine="0"/>
        <w:jc w:val="center"/>
        <w:rPr>
          <w:b/>
        </w:rPr>
      </w:pPr>
      <w:r w:rsidRPr="00655C92">
        <w:rPr>
          <w:b/>
          <w:sz w:val="22"/>
        </w:rPr>
        <w:lastRenderedPageBreak/>
        <w:t>THE NINE HUNDREDTH</w:t>
      </w:r>
    </w:p>
    <w:p w:rsidR="006F686F" w:rsidRDefault="00BC6F01" w:rsidP="00655C92">
      <w:pPr>
        <w:pStyle w:val="Heading1"/>
        <w:ind w:left="360" w:right="-1413"/>
      </w:pPr>
      <w:r>
        <w:t>ACT</w:t>
      </w:r>
    </w:p>
    <w:p w:rsidR="006F686F" w:rsidRPr="00655C92" w:rsidRDefault="00BC6F01" w:rsidP="00655C92">
      <w:pPr>
        <w:spacing w:after="62"/>
        <w:ind w:left="360" w:right="-1413" w:firstLine="0"/>
        <w:rPr>
          <w:b/>
        </w:rPr>
      </w:pPr>
      <w:r w:rsidRPr="00655C92">
        <w:rPr>
          <w:b/>
        </w:rPr>
        <w:t>OF THE PARLIAMENT OF THE REPUBLIC OF GHANA</w:t>
      </w:r>
    </w:p>
    <w:p w:rsidR="006F686F" w:rsidRPr="00655C92" w:rsidRDefault="00BC6F01" w:rsidP="00655C92">
      <w:pPr>
        <w:pStyle w:val="Heading2"/>
        <w:spacing w:after="69"/>
        <w:ind w:left="360" w:right="-1413" w:firstLine="0"/>
        <w:rPr>
          <w:b/>
        </w:rPr>
      </w:pPr>
      <w:r w:rsidRPr="00655C92">
        <w:rPr>
          <w:b/>
        </w:rPr>
        <w:t>ENTITLED</w:t>
      </w:r>
    </w:p>
    <w:p w:rsidR="006F686F" w:rsidRPr="00655C92" w:rsidRDefault="00BC6F01" w:rsidP="00655C92">
      <w:pPr>
        <w:spacing w:after="71" w:line="265" w:lineRule="auto"/>
        <w:ind w:left="360" w:right="-1413" w:firstLine="0"/>
        <w:jc w:val="center"/>
        <w:rPr>
          <w:b/>
        </w:rPr>
      </w:pPr>
      <w:r w:rsidRPr="00655C92">
        <w:rPr>
          <w:b/>
          <w:noProof/>
          <w:sz w:val="22"/>
        </w:rPr>
        <mc:AlternateContent>
          <mc:Choice Requires="wpg">
            <w:drawing>
              <wp:anchor distT="0" distB="0" distL="114300" distR="114300" simplePos="0" relativeHeight="251659264" behindDoc="0" locked="0" layoutInCell="1" allowOverlap="1">
                <wp:simplePos x="0" y="0"/>
                <wp:positionH relativeFrom="page">
                  <wp:posOffset>128016</wp:posOffset>
                </wp:positionH>
                <wp:positionV relativeFrom="page">
                  <wp:posOffset>9029461</wp:posOffset>
                </wp:positionV>
                <wp:extent cx="6126481" cy="18290"/>
                <wp:effectExtent l="0" t="0" r="0" b="0"/>
                <wp:wrapTopAndBottom/>
                <wp:docPr id="11204" name="Group 11204"/>
                <wp:cNvGraphicFramePr/>
                <a:graphic xmlns:a="http://schemas.openxmlformats.org/drawingml/2006/main">
                  <a:graphicData uri="http://schemas.microsoft.com/office/word/2010/wordprocessingGroup">
                    <wpg:wgp>
                      <wpg:cNvGrpSpPr/>
                      <wpg:grpSpPr>
                        <a:xfrm>
                          <a:off x="0" y="0"/>
                          <a:ext cx="6126481" cy="18290"/>
                          <a:chOff x="0" y="0"/>
                          <a:chExt cx="6126481" cy="18290"/>
                        </a:xfrm>
                      </wpg:grpSpPr>
                      <wps:wsp>
                        <wps:cNvPr id="11203" name="Shape 11203"/>
                        <wps:cNvSpPr/>
                        <wps:spPr>
                          <a:xfrm>
                            <a:off x="0" y="0"/>
                            <a:ext cx="6126481" cy="18290"/>
                          </a:xfrm>
                          <a:custGeom>
                            <a:avLst/>
                            <a:gdLst/>
                            <a:ahLst/>
                            <a:cxnLst/>
                            <a:rect l="0" t="0" r="0" b="0"/>
                            <a:pathLst>
                              <a:path w="6126481" h="18290">
                                <a:moveTo>
                                  <a:pt x="0" y="9145"/>
                                </a:moveTo>
                                <a:lnTo>
                                  <a:pt x="6126481"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1204" style="width:482.4pt;height:1.44019pt;position:absolute;mso-position-horizontal-relative:page;mso-position-horizontal:absolute;margin-left:10.08pt;mso-position-vertical-relative:page;margin-top:710.981pt;" coordsize="61264,182">
                <v:shape id="Shape 11203" style="position:absolute;width:61264;height:182;left:0;top:0;" coordsize="6126481,18290" path="m0,9145l6126481,9145">
                  <v:stroke weight="1.44019pt" endcap="flat" joinstyle="miter" miterlimit="1" on="true" color="#000000"/>
                  <v:fill on="false" color="#000000"/>
                </v:shape>
                <w10:wrap type="topAndBottom"/>
              </v:group>
            </w:pict>
          </mc:Fallback>
        </mc:AlternateContent>
      </w:r>
      <w:r w:rsidRPr="00655C92">
        <w:rPr>
          <w:b/>
        </w:rPr>
        <w:t>MINERALS AND MINING (AMENDMENT) ACT, 2015</w:t>
      </w:r>
    </w:p>
    <w:p w:rsidR="006F686F" w:rsidRDefault="00BC6F01" w:rsidP="00655C92">
      <w:pPr>
        <w:spacing w:after="124"/>
        <w:ind w:left="360" w:right="-1413" w:firstLine="0"/>
      </w:pPr>
      <w:r>
        <w:t xml:space="preserve">AN ACT to amend the Minerals and Mining Act, 2006 (Act 703) to provide for Regulations to be made to prescribe the manner for the payment of royalties; the confiscation of equipment used in illegal </w:t>
      </w:r>
      <w:proofErr w:type="gramStart"/>
      <w:r>
        <w:t>small scale</w:t>
      </w:r>
      <w:proofErr w:type="gramEnd"/>
      <w:r>
        <w:t xml:space="preserve"> mining and for related matters.</w:t>
      </w:r>
    </w:p>
    <w:p w:rsidR="006F686F" w:rsidRPr="00655C92" w:rsidRDefault="00BC6F01" w:rsidP="00655C92">
      <w:pPr>
        <w:spacing w:after="313" w:line="259" w:lineRule="auto"/>
        <w:ind w:left="360" w:right="-1413" w:firstLine="0"/>
        <w:jc w:val="center"/>
        <w:rPr>
          <w:b/>
          <w:i/>
        </w:rPr>
      </w:pPr>
      <w:r w:rsidRPr="00655C92">
        <w:rPr>
          <w:b/>
          <w:i/>
          <w:sz w:val="22"/>
        </w:rPr>
        <w:t>DATE OF ASSENT</w:t>
      </w:r>
      <w:r w:rsidR="00655C92" w:rsidRPr="00655C92">
        <w:rPr>
          <w:b/>
          <w:i/>
          <w:sz w:val="22"/>
        </w:rPr>
        <w:t xml:space="preserve">: </w:t>
      </w:r>
      <w:proofErr w:type="gramStart"/>
      <w:r w:rsidR="00655C92" w:rsidRPr="00655C92">
        <w:rPr>
          <w:b/>
          <w:i/>
          <w:sz w:val="22"/>
        </w:rPr>
        <w:t>16th</w:t>
      </w:r>
      <w:proofErr w:type="gramEnd"/>
      <w:r w:rsidR="00655C92" w:rsidRPr="00655C92">
        <w:rPr>
          <w:b/>
          <w:i/>
          <w:sz w:val="22"/>
        </w:rPr>
        <w:t xml:space="preserve"> December</w:t>
      </w:r>
      <w:r w:rsidRPr="00655C92">
        <w:rPr>
          <w:b/>
          <w:i/>
          <w:sz w:val="22"/>
        </w:rPr>
        <w:t>; 2015.</w:t>
      </w:r>
    </w:p>
    <w:p w:rsidR="006F686F" w:rsidRDefault="00BC6F01" w:rsidP="00655C92">
      <w:pPr>
        <w:spacing w:after="122"/>
        <w:ind w:left="360" w:right="-1413" w:firstLine="0"/>
      </w:pPr>
      <w:r>
        <w:t>PASSED by Parliament and assented to by the President:</w:t>
      </w:r>
    </w:p>
    <w:p w:rsidR="006F686F" w:rsidRPr="00655C92" w:rsidRDefault="00BC6F01" w:rsidP="00655C92">
      <w:pPr>
        <w:ind w:left="360" w:right="-1413" w:firstLine="0"/>
        <w:rPr>
          <w:b/>
        </w:rPr>
      </w:pPr>
      <w:r w:rsidRPr="00655C92">
        <w:rPr>
          <w:b/>
        </w:rPr>
        <w:t>Section 25 of Act 703 amended</w:t>
      </w:r>
    </w:p>
    <w:p w:rsidR="006F686F" w:rsidRDefault="00BC6F01" w:rsidP="00655C92">
      <w:pPr>
        <w:pStyle w:val="ListParagraph"/>
        <w:numPr>
          <w:ilvl w:val="0"/>
          <w:numId w:val="6"/>
        </w:numPr>
        <w:spacing w:before="240"/>
        <w:ind w:left="360" w:right="-1413" w:firstLine="0"/>
      </w:pPr>
      <w:r>
        <w:t>The Minerals and Mining Act, 2006 (Act 703), referred to in this Act as the principal enactment, is amended by the substitution for section 25 of</w:t>
      </w:r>
    </w:p>
    <w:p w:rsidR="006F686F" w:rsidRPr="00655C92" w:rsidRDefault="00BC6F01" w:rsidP="00655C92">
      <w:pPr>
        <w:spacing w:before="240" w:after="0" w:line="259" w:lineRule="auto"/>
        <w:ind w:left="360" w:right="-1413" w:firstLine="0"/>
        <w:jc w:val="left"/>
        <w:rPr>
          <w:b/>
        </w:rPr>
      </w:pPr>
      <w:r w:rsidRPr="00655C92">
        <w:rPr>
          <w:b/>
          <w:sz w:val="28"/>
        </w:rPr>
        <w:t>"Royalties</w:t>
      </w:r>
    </w:p>
    <w:p w:rsidR="00655C92" w:rsidRDefault="00BC6F01" w:rsidP="00655C92">
      <w:pPr>
        <w:spacing w:before="240" w:after="219"/>
        <w:ind w:left="360" w:right="-1413" w:firstLine="0"/>
      </w:pPr>
      <w:r>
        <w:t xml:space="preserve">25. A holder of a mining </w:t>
      </w:r>
      <w:proofErr w:type="gramStart"/>
      <w:r>
        <w:t>lease,</w:t>
      </w:r>
      <w:proofErr w:type="gramEnd"/>
      <w:r>
        <w:t xml:space="preserve"> restricted mining lease or small scale mining lease shall, in respect of minerals obtained from its mining operations, pay royalty to the Republic at the rate and in the </w:t>
      </w:r>
      <w:r w:rsidR="00655C92">
        <w:t xml:space="preserve">manner that may be prescribed. </w:t>
      </w:r>
    </w:p>
    <w:p w:rsidR="006F686F" w:rsidRPr="00655C92" w:rsidRDefault="00655C92" w:rsidP="00655C92">
      <w:pPr>
        <w:spacing w:before="240" w:after="219"/>
        <w:ind w:left="360" w:right="-1413" w:firstLine="0"/>
        <w:rPr>
          <w:b/>
        </w:rPr>
      </w:pPr>
      <w:r>
        <w:rPr>
          <w:b/>
        </w:rPr>
        <w:t xml:space="preserve">         </w:t>
      </w:r>
      <w:r w:rsidR="00BC6F01" w:rsidRPr="00655C92">
        <w:rPr>
          <w:b/>
        </w:rPr>
        <w:t>Section 99 of Act 703 amended</w:t>
      </w:r>
    </w:p>
    <w:p w:rsidR="006F686F" w:rsidRDefault="00BC6F01" w:rsidP="00655C92">
      <w:pPr>
        <w:pStyle w:val="ListParagraph"/>
        <w:numPr>
          <w:ilvl w:val="0"/>
          <w:numId w:val="6"/>
        </w:numPr>
        <w:spacing w:before="240"/>
        <w:ind w:left="360" w:right="-1413" w:firstLine="0"/>
      </w:pPr>
      <w:r>
        <w:t>The principal enactment is amended by the substitution for section 99 Of</w:t>
      </w:r>
    </w:p>
    <w:p w:rsidR="006F686F" w:rsidRPr="00655C92" w:rsidRDefault="00BC6F01" w:rsidP="00655C92">
      <w:pPr>
        <w:spacing w:before="240" w:after="0" w:line="259" w:lineRule="auto"/>
        <w:ind w:left="360" w:right="-1413" w:firstLine="0"/>
        <w:jc w:val="left"/>
        <w:rPr>
          <w:b/>
        </w:rPr>
      </w:pPr>
      <w:r w:rsidRPr="00655C92">
        <w:rPr>
          <w:b/>
          <w:sz w:val="28"/>
        </w:rPr>
        <w:t>"Offences and penalties</w:t>
      </w:r>
    </w:p>
    <w:p w:rsidR="00655C92" w:rsidRDefault="00BC6F01" w:rsidP="00655C92">
      <w:pPr>
        <w:spacing w:before="240"/>
        <w:ind w:left="360" w:right="-1413" w:firstLine="0"/>
      </w:pPr>
      <w:proofErr w:type="gramStart"/>
      <w:r>
        <w:t xml:space="preserve">99. </w:t>
      </w:r>
      <w:r w:rsidR="00655C92">
        <w:t xml:space="preserve"> </w:t>
      </w:r>
      <w:r>
        <w:t xml:space="preserve">(1) A person who sells or buys minerals without a </w:t>
      </w:r>
      <w:proofErr w:type="spellStart"/>
      <w:r>
        <w:t>licence</w:t>
      </w:r>
      <w:proofErr w:type="spellEnd"/>
      <w:r>
        <w:t xml:space="preserve"> granted under section 97 or 104 or without a valid authority granted under this Act or any other enactment commits an offence </w:t>
      </w:r>
      <w:r>
        <w:rPr>
          <w:noProof/>
        </w:rPr>
        <w:drawing>
          <wp:inline distT="0" distB="0" distL="0" distR="0">
            <wp:extent cx="6096" cy="6097"/>
            <wp:effectExtent l="0" t="0" r="0" b="0"/>
            <wp:docPr id="3908" name="Picture 3908"/>
            <wp:cNvGraphicFramePr/>
            <a:graphic xmlns:a="http://schemas.openxmlformats.org/drawingml/2006/main">
              <a:graphicData uri="http://schemas.openxmlformats.org/drawingml/2006/picture">
                <pic:pic xmlns:pic="http://schemas.openxmlformats.org/drawingml/2006/picture">
                  <pic:nvPicPr>
                    <pic:cNvPr id="3908" name="Picture 3908"/>
                    <pic:cNvPicPr/>
                  </pic:nvPicPr>
                  <pic:blipFill>
                    <a:blip r:embed="rId7"/>
                    <a:stretch>
                      <a:fillRect/>
                    </a:stretch>
                  </pic:blipFill>
                  <pic:spPr>
                    <a:xfrm>
                      <a:off x="0" y="0"/>
                      <a:ext cx="6096" cy="6097"/>
                    </a:xfrm>
                    <a:prstGeom prst="rect">
                      <a:avLst/>
                    </a:prstGeom>
                  </pic:spPr>
                </pic:pic>
              </a:graphicData>
            </a:graphic>
          </wp:inline>
        </w:drawing>
      </w:r>
      <w:r>
        <w:t>and is liable on summary conviction to a fine of not more than three thousand penalty units or to a term of imprisonment of not more than five years or to both.</w:t>
      </w:r>
      <w:proofErr w:type="gramEnd"/>
    </w:p>
    <w:p w:rsidR="006F686F" w:rsidRDefault="00655C92" w:rsidP="00655C92">
      <w:pPr>
        <w:spacing w:before="240"/>
        <w:ind w:left="360" w:right="-1413" w:firstLine="0"/>
      </w:pPr>
      <w:r>
        <w:lastRenderedPageBreak/>
        <w:t xml:space="preserve">          </w:t>
      </w:r>
      <w:r w:rsidR="00BC6F01">
        <w:t>(2) A person who,</w:t>
      </w:r>
    </w:p>
    <w:p w:rsidR="006F686F" w:rsidRDefault="00BC6F01" w:rsidP="00655C92">
      <w:pPr>
        <w:ind w:left="360" w:right="-1413" w:firstLine="0"/>
      </w:pPr>
      <w:r>
        <w:rPr>
          <w:noProof/>
        </w:rPr>
        <w:drawing>
          <wp:inline distT="0" distB="0" distL="0" distR="0">
            <wp:extent cx="30480" cy="12194"/>
            <wp:effectExtent l="0" t="0" r="0" b="0"/>
            <wp:docPr id="3943" name="Picture 3943"/>
            <wp:cNvGraphicFramePr/>
            <a:graphic xmlns:a="http://schemas.openxmlformats.org/drawingml/2006/main">
              <a:graphicData uri="http://schemas.openxmlformats.org/drawingml/2006/picture">
                <pic:pic xmlns:pic="http://schemas.openxmlformats.org/drawingml/2006/picture">
                  <pic:nvPicPr>
                    <pic:cNvPr id="3943" name="Picture 3943"/>
                    <pic:cNvPicPr/>
                  </pic:nvPicPr>
                  <pic:blipFill>
                    <a:blip r:embed="rId8"/>
                    <a:stretch>
                      <a:fillRect/>
                    </a:stretch>
                  </pic:blipFill>
                  <pic:spPr>
                    <a:xfrm>
                      <a:off x="0" y="0"/>
                      <a:ext cx="30480" cy="12194"/>
                    </a:xfrm>
                    <a:prstGeom prst="rect">
                      <a:avLst/>
                    </a:prstGeom>
                  </pic:spPr>
                </pic:pic>
              </a:graphicData>
            </a:graphic>
          </wp:inline>
        </w:drawing>
      </w:r>
      <w:r>
        <w:t xml:space="preserve"> (a) </w:t>
      </w:r>
      <w:proofErr w:type="gramStart"/>
      <w:r>
        <w:t>without</w:t>
      </w:r>
      <w:proofErr w:type="gramEnd"/>
      <w:r>
        <w:t xml:space="preserve"> a </w:t>
      </w:r>
      <w:proofErr w:type="spellStart"/>
      <w:r>
        <w:t>licence</w:t>
      </w:r>
      <w:proofErr w:type="spellEnd"/>
      <w:r>
        <w:t xml:space="preserve"> granted by the Minister, undertakes a small scale mining operation contrary to the provisions of this Act, or</w:t>
      </w:r>
    </w:p>
    <w:p w:rsidR="006F686F" w:rsidRDefault="00BC6F01" w:rsidP="00655C92">
      <w:pPr>
        <w:ind w:left="360" w:right="-1413" w:firstLine="0"/>
      </w:pPr>
      <w:r>
        <w:rPr>
          <w:noProof/>
          <w:sz w:val="22"/>
        </w:rPr>
        <mc:AlternateContent>
          <mc:Choice Requires="wpg">
            <w:drawing>
              <wp:anchor distT="0" distB="0" distL="114300" distR="114300" simplePos="0" relativeHeight="251660288" behindDoc="0" locked="0" layoutInCell="1" allowOverlap="1">
                <wp:simplePos x="0" y="0"/>
                <wp:positionH relativeFrom="page">
                  <wp:posOffset>164592</wp:posOffset>
                </wp:positionH>
                <wp:positionV relativeFrom="page">
                  <wp:posOffset>9047752</wp:posOffset>
                </wp:positionV>
                <wp:extent cx="6126480" cy="12194"/>
                <wp:effectExtent l="0" t="0" r="0" b="0"/>
                <wp:wrapTopAndBottom/>
                <wp:docPr id="11206" name="Group 11206"/>
                <wp:cNvGraphicFramePr/>
                <a:graphic xmlns:a="http://schemas.openxmlformats.org/drawingml/2006/main">
                  <a:graphicData uri="http://schemas.microsoft.com/office/word/2010/wordprocessingGroup">
                    <wpg:wgp>
                      <wpg:cNvGrpSpPr/>
                      <wpg:grpSpPr>
                        <a:xfrm>
                          <a:off x="0" y="0"/>
                          <a:ext cx="6126480" cy="12194"/>
                          <a:chOff x="0" y="0"/>
                          <a:chExt cx="6126480" cy="12194"/>
                        </a:xfrm>
                      </wpg:grpSpPr>
                      <wps:wsp>
                        <wps:cNvPr id="11205" name="Shape 11205"/>
                        <wps:cNvSpPr/>
                        <wps:spPr>
                          <a:xfrm>
                            <a:off x="0" y="0"/>
                            <a:ext cx="6126480" cy="12194"/>
                          </a:xfrm>
                          <a:custGeom>
                            <a:avLst/>
                            <a:gdLst/>
                            <a:ahLst/>
                            <a:cxnLst/>
                            <a:rect l="0" t="0" r="0" b="0"/>
                            <a:pathLst>
                              <a:path w="6126480" h="12194">
                                <a:moveTo>
                                  <a:pt x="0" y="6097"/>
                                </a:moveTo>
                                <a:lnTo>
                                  <a:pt x="6126480"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1206" style="width:482.4pt;height:0.960144pt;position:absolute;mso-position-horizontal-relative:page;mso-position-horizontal:absolute;margin-left:12.96pt;mso-position-vertical-relative:page;margin-top:712.421pt;" coordsize="61264,121">
                <v:shape id="Shape 11205" style="position:absolute;width:61264;height:121;left:0;top:0;" coordsize="6126480,12194" path="m0,6097l6126480,6097">
                  <v:stroke weight="0.960144pt" endcap="flat" joinstyle="miter" miterlimit="1" on="true" color="#000000"/>
                  <v:fill on="false" color="#000000"/>
                </v:shape>
                <w10:wrap type="topAndBottom"/>
              </v:group>
            </w:pict>
          </mc:Fallback>
        </mc:AlternateContent>
      </w:r>
      <w:r>
        <w:t xml:space="preserve">(b) </w:t>
      </w:r>
      <w:proofErr w:type="gramStart"/>
      <w:r>
        <w:t>acts</w:t>
      </w:r>
      <w:proofErr w:type="gramEnd"/>
      <w:r>
        <w:t xml:space="preserve"> in contravention of a provision of this Act in respect of which a penalty has </w:t>
      </w:r>
      <w:r w:rsidR="00655C92">
        <w:t>not been specifi</w:t>
      </w:r>
      <w:r>
        <w:t xml:space="preserve">ed, commits an offence and is liable on summary conviction to a fine </w:t>
      </w:r>
      <w:r>
        <w:rPr>
          <w:noProof/>
        </w:rPr>
        <w:drawing>
          <wp:inline distT="0" distB="0" distL="0" distR="0">
            <wp:extent cx="6096" cy="6097"/>
            <wp:effectExtent l="0" t="0" r="0" b="0"/>
            <wp:docPr id="3910" name="Picture 3910"/>
            <wp:cNvGraphicFramePr/>
            <a:graphic xmlns:a="http://schemas.openxmlformats.org/drawingml/2006/main">
              <a:graphicData uri="http://schemas.openxmlformats.org/drawingml/2006/picture">
                <pic:pic xmlns:pic="http://schemas.openxmlformats.org/drawingml/2006/picture">
                  <pic:nvPicPr>
                    <pic:cNvPr id="3910" name="Picture 3910"/>
                    <pic:cNvPicPr/>
                  </pic:nvPicPr>
                  <pic:blipFill>
                    <a:blip r:embed="rId9"/>
                    <a:stretch>
                      <a:fillRect/>
                    </a:stretch>
                  </pic:blipFill>
                  <pic:spPr>
                    <a:xfrm>
                      <a:off x="0" y="0"/>
                      <a:ext cx="6096" cy="6097"/>
                    </a:xfrm>
                    <a:prstGeom prst="rect">
                      <a:avLst/>
                    </a:prstGeom>
                  </pic:spPr>
                </pic:pic>
              </a:graphicData>
            </a:graphic>
          </wp:inline>
        </w:drawing>
      </w:r>
      <w:r>
        <w:t>of not more than three thousand penalty units or to a term of imprisonment of not more than five years or to both.</w:t>
      </w:r>
    </w:p>
    <w:p w:rsidR="00655C92" w:rsidRDefault="00655C92" w:rsidP="00655C92">
      <w:pPr>
        <w:ind w:left="360" w:right="-1413" w:firstLine="0"/>
      </w:pPr>
    </w:p>
    <w:p w:rsidR="006F686F" w:rsidRDefault="00BC6F01" w:rsidP="00655C92">
      <w:pPr>
        <w:numPr>
          <w:ilvl w:val="1"/>
          <w:numId w:val="2"/>
        </w:numPr>
        <w:ind w:left="360" w:right="-1413" w:firstLine="0"/>
      </w:pPr>
      <w:r>
        <w:t>A foreigner who undertakes small scale mining operations contrary to the provisions of this Act commits an offence and is liable on summary conviction to a fine of not less than thirty thousand penalty units and not more than three hundred thousand penalty units or to a term of imprisonment of not more than twenty years or to both.</w:t>
      </w:r>
    </w:p>
    <w:p w:rsidR="00655C92" w:rsidRDefault="00655C92" w:rsidP="00655C92">
      <w:pPr>
        <w:ind w:left="360" w:right="-1413" w:firstLine="0"/>
      </w:pPr>
    </w:p>
    <w:p w:rsidR="006F686F" w:rsidRDefault="00BC6F01" w:rsidP="00655C92">
      <w:pPr>
        <w:numPr>
          <w:ilvl w:val="1"/>
          <w:numId w:val="2"/>
        </w:numPr>
        <w:ind w:left="360" w:right="-1413" w:firstLine="0"/>
      </w:pPr>
      <w:proofErr w:type="gramStart"/>
      <w:r>
        <w:t>A Ghanaian who employs or engages a foreigner to illegally undertake or participate in small-scale mining commits an offence and is liable on summary conviction to a fine of not less than two thousand penalty units and not more than twenty thousand penalty units or to a term of imprisonment of not less than five years and not more than ten years or to both.</w:t>
      </w:r>
      <w:proofErr w:type="gramEnd"/>
    </w:p>
    <w:p w:rsidR="00655C92" w:rsidRDefault="00655C92" w:rsidP="00655C92">
      <w:pPr>
        <w:ind w:left="360" w:right="-1413" w:firstLine="0"/>
      </w:pPr>
    </w:p>
    <w:p w:rsidR="006F686F" w:rsidRDefault="00BC6F01" w:rsidP="00655C92">
      <w:pPr>
        <w:pStyle w:val="ListParagraph"/>
        <w:numPr>
          <w:ilvl w:val="1"/>
          <w:numId w:val="2"/>
        </w:numPr>
        <w:spacing w:after="203"/>
        <w:ind w:left="360" w:right="-1413" w:firstLine="0"/>
      </w:pPr>
      <w:r>
        <w:t xml:space="preserve">Where a person </w:t>
      </w:r>
      <w:proofErr w:type="gramStart"/>
      <w:r>
        <w:t>is arrested</w:t>
      </w:r>
      <w:proofErr w:type="gramEnd"/>
      <w:r>
        <w:t xml:space="preserve"> for an offence under subsection (3) or (4), any equipment used in or associated with the commission of the offence and any product derived from the commission of the offence shall, regardless of the ownership of </w:t>
      </w:r>
      <w:r>
        <w:rPr>
          <w:noProof/>
        </w:rPr>
        <w:drawing>
          <wp:inline distT="0" distB="0" distL="0" distR="0">
            <wp:extent cx="12192" cy="12194"/>
            <wp:effectExtent l="0" t="0" r="0" b="0"/>
            <wp:docPr id="3944" name="Picture 3944"/>
            <wp:cNvGraphicFramePr/>
            <a:graphic xmlns:a="http://schemas.openxmlformats.org/drawingml/2006/main">
              <a:graphicData uri="http://schemas.openxmlformats.org/drawingml/2006/picture">
                <pic:pic xmlns:pic="http://schemas.openxmlformats.org/drawingml/2006/picture">
                  <pic:nvPicPr>
                    <pic:cNvPr id="3944" name="Picture 3944"/>
                    <pic:cNvPicPr/>
                  </pic:nvPicPr>
                  <pic:blipFill>
                    <a:blip r:embed="rId10"/>
                    <a:stretch>
                      <a:fillRect/>
                    </a:stretch>
                  </pic:blipFill>
                  <pic:spPr>
                    <a:xfrm>
                      <a:off x="0" y="0"/>
                      <a:ext cx="12192" cy="12194"/>
                    </a:xfrm>
                    <a:prstGeom prst="rect">
                      <a:avLst/>
                    </a:prstGeom>
                  </pic:spPr>
                </pic:pic>
              </a:graphicData>
            </a:graphic>
          </wp:inline>
        </w:drawing>
      </w:r>
      <w:r>
        <w:t>the equipment or product, be seized and kept in the custody of the police.</w:t>
      </w:r>
    </w:p>
    <w:p w:rsidR="006F686F" w:rsidRDefault="00BC6F01" w:rsidP="00655C92">
      <w:pPr>
        <w:numPr>
          <w:ilvl w:val="1"/>
          <w:numId w:val="3"/>
        </w:numPr>
        <w:spacing w:after="14" w:line="259" w:lineRule="auto"/>
        <w:ind w:left="360" w:right="-1413" w:firstLine="0"/>
      </w:pPr>
      <w:r>
        <w:t>A court which convicts a person for an offence under</w:t>
      </w:r>
    </w:p>
    <w:p w:rsidR="006F686F" w:rsidRDefault="006F686F" w:rsidP="00655C92">
      <w:pPr>
        <w:ind w:left="360" w:right="-1413" w:firstLine="0"/>
        <w:sectPr w:rsidR="006F686F" w:rsidSect="00655C92">
          <w:footerReference w:type="default" r:id="rId11"/>
          <w:pgSz w:w="12240" w:h="16860"/>
          <w:pgMar w:top="1545" w:right="3302" w:bottom="3639" w:left="1114" w:header="2304" w:footer="3024" w:gutter="0"/>
          <w:cols w:space="720"/>
          <w:docGrid w:linePitch="354"/>
        </w:sectPr>
      </w:pPr>
    </w:p>
    <w:p w:rsidR="006F686F" w:rsidRDefault="00BC6F01" w:rsidP="00655C92">
      <w:pPr>
        <w:ind w:left="360" w:right="-1413" w:firstLine="0"/>
      </w:pPr>
      <w:proofErr w:type="gramStart"/>
      <w:r>
        <w:t>subsection</w:t>
      </w:r>
      <w:proofErr w:type="gramEnd"/>
      <w:r>
        <w:t xml:space="preserve"> (2), (3) or (4) shall in addition to the penalty that it may impose, order the forfeiture of any equipment or product seized under subsection (5) to the State.</w:t>
      </w:r>
    </w:p>
    <w:p w:rsidR="00655C92" w:rsidRDefault="00655C92" w:rsidP="00655C92">
      <w:pPr>
        <w:ind w:left="360" w:right="-1413" w:firstLine="0"/>
      </w:pPr>
    </w:p>
    <w:p w:rsidR="006F686F" w:rsidRDefault="00BC6F01" w:rsidP="00655C92">
      <w:pPr>
        <w:numPr>
          <w:ilvl w:val="1"/>
          <w:numId w:val="3"/>
        </w:numPr>
        <w:ind w:left="360" w:right="-1413" w:firstLine="0"/>
      </w:pPr>
      <w:r>
        <w:t>The Minister shall, within sixty days after the confiscation of the equipment or product, allocate the equipment or product to the appropriate state institution and publish in the Gazette the name of the state institution to wh</w:t>
      </w:r>
      <w:r w:rsidR="00655C92">
        <w:t xml:space="preserve">ich the equipment or product is </w:t>
      </w:r>
      <w:r>
        <w:t>allocated.</w:t>
      </w:r>
    </w:p>
    <w:p w:rsidR="00655C92" w:rsidRDefault="00655C92" w:rsidP="00655C92">
      <w:pPr>
        <w:ind w:left="360" w:right="-1413" w:firstLine="0"/>
      </w:pPr>
    </w:p>
    <w:p w:rsidR="006F686F" w:rsidRDefault="00BC6F01" w:rsidP="00655C92">
      <w:pPr>
        <w:numPr>
          <w:ilvl w:val="1"/>
          <w:numId w:val="3"/>
        </w:numPr>
        <w:spacing w:after="14" w:line="259" w:lineRule="auto"/>
        <w:ind w:left="360" w:right="-1413" w:firstLine="0"/>
      </w:pPr>
      <w:r>
        <w:t>In this section, "court" includes the Circuit Court. "</w:t>
      </w:r>
    </w:p>
    <w:p w:rsidR="00655C92" w:rsidRDefault="00655C92" w:rsidP="00655C92">
      <w:pPr>
        <w:ind w:left="360" w:right="-1413" w:firstLine="0"/>
      </w:pPr>
    </w:p>
    <w:p w:rsidR="00655C92" w:rsidRDefault="00655C92" w:rsidP="00655C92">
      <w:pPr>
        <w:ind w:left="360" w:right="-1413" w:firstLine="0"/>
        <w:rPr>
          <w:b/>
        </w:rPr>
      </w:pPr>
    </w:p>
    <w:p w:rsidR="00655C92" w:rsidRPr="00655C92" w:rsidRDefault="00BC6F01" w:rsidP="00655C92">
      <w:pPr>
        <w:ind w:left="360" w:right="-1413" w:firstLine="0"/>
        <w:rPr>
          <w:b/>
        </w:rPr>
      </w:pPr>
      <w:r w:rsidRPr="00655C92">
        <w:rPr>
          <w:b/>
        </w:rPr>
        <w:lastRenderedPageBreak/>
        <w:t xml:space="preserve">Section 106 of Act 703 amended </w:t>
      </w:r>
    </w:p>
    <w:p w:rsidR="00655C92" w:rsidRDefault="00655C92" w:rsidP="00655C92">
      <w:pPr>
        <w:ind w:left="360" w:right="-1413" w:firstLine="0"/>
      </w:pPr>
    </w:p>
    <w:p w:rsidR="006F686F" w:rsidRDefault="00BC6F01" w:rsidP="00655C92">
      <w:pPr>
        <w:ind w:left="360" w:right="-1413" w:firstLine="0"/>
      </w:pPr>
      <w:r>
        <w:t xml:space="preserve">3. The principal enactment </w:t>
      </w:r>
      <w:proofErr w:type="gramStart"/>
      <w:r>
        <w:t>is amended</w:t>
      </w:r>
      <w:proofErr w:type="gramEnd"/>
      <w:r>
        <w:t xml:space="preserve"> in section 106 by the addition of a new </w:t>
      </w:r>
      <w:proofErr w:type="spellStart"/>
      <w:r>
        <w:t>subclause</w:t>
      </w:r>
      <w:proofErr w:type="spellEnd"/>
      <w:r>
        <w:t xml:space="preserve"> (2) as follows:</w:t>
      </w:r>
    </w:p>
    <w:p w:rsidR="00655C92" w:rsidRDefault="00655C92" w:rsidP="00655C92">
      <w:pPr>
        <w:ind w:left="360" w:right="-1413" w:firstLine="0"/>
      </w:pPr>
    </w:p>
    <w:p w:rsidR="006F686F" w:rsidRDefault="00BC6F01" w:rsidP="00655C92">
      <w:pPr>
        <w:spacing w:after="74"/>
        <w:ind w:left="360" w:right="-1413" w:firstLine="0"/>
      </w:pPr>
      <w:r>
        <w:t>"(2) Without limiting section 99, a court before which a person is convicted under this Act shall order the forfeiture to the State of the mineral in respect of w</w:t>
      </w:r>
      <w:r w:rsidR="00655C92">
        <w:t>hich the offence was committed.</w:t>
      </w:r>
      <w:r>
        <w:t>"</w:t>
      </w:r>
    </w:p>
    <w:p w:rsidR="00655C92" w:rsidRDefault="00655C92" w:rsidP="00655C92">
      <w:pPr>
        <w:spacing w:after="74"/>
        <w:ind w:left="360" w:right="-1413" w:firstLine="0"/>
      </w:pPr>
    </w:p>
    <w:p w:rsidR="006F686F" w:rsidRPr="00655C92" w:rsidRDefault="00BC6F01" w:rsidP="00655C92">
      <w:pPr>
        <w:ind w:left="360" w:right="-1413" w:firstLine="0"/>
        <w:rPr>
          <w:b/>
        </w:rPr>
      </w:pPr>
      <w:r w:rsidRPr="00655C92">
        <w:rPr>
          <w:b/>
          <w:noProof/>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9034607</wp:posOffset>
                </wp:positionV>
                <wp:extent cx="6112987" cy="12201"/>
                <wp:effectExtent l="0" t="0" r="0" b="0"/>
                <wp:wrapTopAndBottom/>
                <wp:docPr id="11208" name="Group 11208"/>
                <wp:cNvGraphicFramePr/>
                <a:graphic xmlns:a="http://schemas.openxmlformats.org/drawingml/2006/main">
                  <a:graphicData uri="http://schemas.microsoft.com/office/word/2010/wordprocessingGroup">
                    <wpg:wgp>
                      <wpg:cNvGrpSpPr/>
                      <wpg:grpSpPr>
                        <a:xfrm>
                          <a:off x="0" y="0"/>
                          <a:ext cx="6112987" cy="12201"/>
                          <a:chOff x="0" y="0"/>
                          <a:chExt cx="6112987" cy="12201"/>
                        </a:xfrm>
                      </wpg:grpSpPr>
                      <wps:wsp>
                        <wps:cNvPr id="11207" name="Shape 11207"/>
                        <wps:cNvSpPr/>
                        <wps:spPr>
                          <a:xfrm>
                            <a:off x="0" y="0"/>
                            <a:ext cx="6112987" cy="12201"/>
                          </a:xfrm>
                          <a:custGeom>
                            <a:avLst/>
                            <a:gdLst/>
                            <a:ahLst/>
                            <a:cxnLst/>
                            <a:rect l="0" t="0" r="0" b="0"/>
                            <a:pathLst>
                              <a:path w="6112987" h="12201">
                                <a:moveTo>
                                  <a:pt x="0" y="6100"/>
                                </a:moveTo>
                                <a:lnTo>
                                  <a:pt x="6112987" y="6100"/>
                                </a:lnTo>
                              </a:path>
                            </a:pathLst>
                          </a:custGeom>
                          <a:ln w="12201"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1208" style="width:481.338pt;height:0.960693pt;position:absolute;mso-position-horizontal-relative:page;mso-position-horizontal:absolute;margin-left:0pt;mso-position-vertical-relative:page;margin-top:711.386pt;" coordsize="61129,122">
                <v:shape id="Shape 11207" style="position:absolute;width:61129;height:122;left:0;top:0;" coordsize="6112987,12201" path="m0,6100l6112987,6100">
                  <v:stroke weight="0.960693pt" endcap="flat" joinstyle="miter" miterlimit="1" on="true" color="#000000"/>
                  <v:fill on="false" color="#000000"/>
                </v:shape>
                <w10:wrap type="topAndBottom"/>
              </v:group>
            </w:pict>
          </mc:Fallback>
        </mc:AlternateContent>
      </w:r>
      <w:r w:rsidRPr="00655C92">
        <w:rPr>
          <w:b/>
        </w:rPr>
        <w:t>Section 107 of Act 703 amended</w:t>
      </w:r>
    </w:p>
    <w:p w:rsidR="00655C92" w:rsidRDefault="00655C92" w:rsidP="00655C92">
      <w:pPr>
        <w:ind w:left="360" w:right="-1413" w:firstLine="0"/>
      </w:pPr>
    </w:p>
    <w:p w:rsidR="00655C92" w:rsidRDefault="00BC6F01" w:rsidP="00655C92">
      <w:pPr>
        <w:numPr>
          <w:ilvl w:val="0"/>
          <w:numId w:val="4"/>
        </w:numPr>
        <w:spacing w:after="110"/>
        <w:ind w:left="360" w:right="-1413" w:firstLine="0"/>
      </w:pPr>
      <w:r>
        <w:t xml:space="preserve">The principal enactment </w:t>
      </w:r>
      <w:proofErr w:type="gramStart"/>
      <w:r>
        <w:t>is amended</w:t>
      </w:r>
      <w:proofErr w:type="gramEnd"/>
      <w:r>
        <w:t xml:space="preserve"> in section 107 by the deletion of subsection (2).</w:t>
      </w:r>
    </w:p>
    <w:p w:rsidR="00655C92" w:rsidRDefault="00655C92" w:rsidP="00655C92">
      <w:pPr>
        <w:spacing w:after="110"/>
        <w:ind w:left="360" w:right="-1413" w:firstLine="0"/>
      </w:pPr>
    </w:p>
    <w:p w:rsidR="006F686F" w:rsidRPr="00655C92" w:rsidRDefault="00BC6F01" w:rsidP="00655C92">
      <w:pPr>
        <w:spacing w:after="110"/>
        <w:ind w:left="360" w:right="-1413" w:firstLine="0"/>
      </w:pPr>
      <w:r w:rsidRPr="00655C92">
        <w:rPr>
          <w:b/>
        </w:rPr>
        <w:t>Section 110 of Act 703 amended</w:t>
      </w:r>
    </w:p>
    <w:p w:rsidR="00655C92" w:rsidRPr="00655C92" w:rsidRDefault="00655C92" w:rsidP="00655C92">
      <w:pPr>
        <w:spacing w:before="240"/>
        <w:ind w:left="360" w:right="-1413" w:firstLine="0"/>
        <w:rPr>
          <w:b/>
        </w:rPr>
      </w:pPr>
    </w:p>
    <w:p w:rsidR="006F686F" w:rsidRDefault="00BC6F01" w:rsidP="00655C92">
      <w:pPr>
        <w:numPr>
          <w:ilvl w:val="0"/>
          <w:numId w:val="4"/>
        </w:numPr>
        <w:ind w:left="360" w:right="-1413" w:firstLine="0"/>
      </w:pPr>
      <w:r>
        <w:t>The principal enactment is amended in section 110 by the addition of a new paragraph after paragraph (u) in subsection (2) as follows:</w:t>
      </w:r>
    </w:p>
    <w:p w:rsidR="006F686F" w:rsidRDefault="00BC6F01" w:rsidP="00655C92">
      <w:pPr>
        <w:spacing w:after="51"/>
        <w:ind w:left="360" w:right="-1413" w:firstLine="0"/>
      </w:pPr>
      <w:r>
        <w:t xml:space="preserve">(v) </w:t>
      </w:r>
      <w:r w:rsidR="00655C92">
        <w:t>Prescribing</w:t>
      </w:r>
      <w:r>
        <w:t xml:space="preserve"> the rate for royalty and the manner of royalty p</w:t>
      </w:r>
      <w:r w:rsidR="00655C92">
        <w:t>ayments in respect of minerals.</w:t>
      </w:r>
    </w:p>
    <w:p w:rsidR="00655C92" w:rsidRDefault="00655C92" w:rsidP="00655C92">
      <w:pPr>
        <w:spacing w:after="51"/>
        <w:ind w:left="360" w:right="-1413" w:firstLine="0"/>
      </w:pPr>
    </w:p>
    <w:p w:rsidR="006F686F" w:rsidRPr="00655C92" w:rsidRDefault="00BC6F01" w:rsidP="00655C92">
      <w:pPr>
        <w:pStyle w:val="ListParagraph"/>
        <w:ind w:left="360" w:right="-1413" w:firstLine="0"/>
        <w:rPr>
          <w:b/>
        </w:rPr>
      </w:pPr>
      <w:r w:rsidRPr="00655C92">
        <w:rPr>
          <w:b/>
        </w:rPr>
        <w:t>Repeal and savings</w:t>
      </w:r>
    </w:p>
    <w:p w:rsidR="00655C92" w:rsidRDefault="00655C92" w:rsidP="00655C92">
      <w:pPr>
        <w:ind w:left="360" w:right="-1413" w:firstLine="0"/>
      </w:pPr>
    </w:p>
    <w:p w:rsidR="006F686F" w:rsidRDefault="00BC6F01" w:rsidP="00655C92">
      <w:pPr>
        <w:numPr>
          <w:ilvl w:val="0"/>
          <w:numId w:val="4"/>
        </w:numPr>
        <w:ind w:left="360" w:right="-1413" w:firstLine="0"/>
      </w:pPr>
      <w:r>
        <w:t>(1) The Minerals and Mining (Amendment) Act, 2010 (Act 794) is repealed.</w:t>
      </w:r>
    </w:p>
    <w:p w:rsidR="006F686F" w:rsidRDefault="00BC6F01" w:rsidP="00655C92">
      <w:pPr>
        <w:spacing w:after="488"/>
        <w:ind w:left="360" w:right="-1413" w:firstLine="0"/>
      </w:pPr>
      <w:r>
        <w:t>(2) Despite the repeal of Act 794, the</w:t>
      </w:r>
      <w:r w:rsidR="00655C92">
        <w:t xml:space="preserve"> rate of royalty in force imme</w:t>
      </w:r>
      <w:r>
        <w:t xml:space="preserve">diately before the commencement of this Act shall continue in force until the rate </w:t>
      </w:r>
      <w:proofErr w:type="gramStart"/>
      <w:r>
        <w:t>is altered</w:t>
      </w:r>
      <w:proofErr w:type="gramEnd"/>
      <w:r>
        <w:t>.</w:t>
      </w:r>
    </w:p>
    <w:p w:rsidR="006F686F" w:rsidRDefault="00BC6F01" w:rsidP="00655C92">
      <w:pPr>
        <w:spacing w:after="148" w:line="265" w:lineRule="auto"/>
        <w:ind w:left="360" w:right="-1413" w:firstLine="0"/>
        <w:jc w:val="center"/>
      </w:pPr>
      <w:r>
        <w:t xml:space="preserve">Date of Gazette notification: </w:t>
      </w:r>
      <w:proofErr w:type="gramStart"/>
      <w:r>
        <w:t>24th</w:t>
      </w:r>
      <w:proofErr w:type="gramEnd"/>
      <w:r>
        <w:t xml:space="preserve"> December, 2015.</w:t>
      </w:r>
    </w:p>
    <w:p w:rsidR="006F686F" w:rsidRDefault="00BC6F01" w:rsidP="00655C92">
      <w:pPr>
        <w:spacing w:after="96" w:line="259" w:lineRule="auto"/>
        <w:ind w:left="360" w:right="-1413" w:firstLine="0"/>
        <w:jc w:val="left"/>
      </w:pPr>
      <w:r>
        <w:rPr>
          <w:noProof/>
          <w:sz w:val="22"/>
        </w:rPr>
        <mc:AlternateContent>
          <mc:Choice Requires="wpg">
            <w:drawing>
              <wp:inline distT="0" distB="0" distL="0" distR="0">
                <wp:extent cx="4709806" cy="12201"/>
                <wp:effectExtent l="0" t="0" r="0" b="0"/>
                <wp:docPr id="11210" name="Group 11210"/>
                <wp:cNvGraphicFramePr/>
                <a:graphic xmlns:a="http://schemas.openxmlformats.org/drawingml/2006/main">
                  <a:graphicData uri="http://schemas.microsoft.com/office/word/2010/wordprocessingGroup">
                    <wpg:wgp>
                      <wpg:cNvGrpSpPr/>
                      <wpg:grpSpPr>
                        <a:xfrm>
                          <a:off x="0" y="0"/>
                          <a:ext cx="4709806" cy="12201"/>
                          <a:chOff x="0" y="0"/>
                          <a:chExt cx="4709806" cy="12201"/>
                        </a:xfrm>
                      </wpg:grpSpPr>
                      <wps:wsp>
                        <wps:cNvPr id="11209" name="Shape 11209"/>
                        <wps:cNvSpPr/>
                        <wps:spPr>
                          <a:xfrm>
                            <a:off x="0" y="0"/>
                            <a:ext cx="4709806" cy="12201"/>
                          </a:xfrm>
                          <a:custGeom>
                            <a:avLst/>
                            <a:gdLst/>
                            <a:ahLst/>
                            <a:cxnLst/>
                            <a:rect l="0" t="0" r="0" b="0"/>
                            <a:pathLst>
                              <a:path w="4709806" h="12201">
                                <a:moveTo>
                                  <a:pt x="0" y="6100"/>
                                </a:moveTo>
                                <a:lnTo>
                                  <a:pt x="4709806" y="6100"/>
                                </a:lnTo>
                              </a:path>
                            </a:pathLst>
                          </a:custGeom>
                          <a:ln w="1220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210" style="width:370.851pt;height:0.960693pt;mso-position-horizontal-relative:char;mso-position-vertical-relative:line" coordsize="47098,122">
                <v:shape id="Shape 11209" style="position:absolute;width:47098;height:122;left:0;top:0;" coordsize="4709806,12201" path="m0,6100l4709806,6100">
                  <v:stroke weight="0.960693pt" endcap="flat" joinstyle="miter" miterlimit="1" on="true" color="#000000"/>
                  <v:fill on="false" color="#000000"/>
                </v:shape>
              </v:group>
            </w:pict>
          </mc:Fallback>
        </mc:AlternateContent>
      </w:r>
    </w:p>
    <w:p w:rsidR="006F686F" w:rsidRDefault="00BC6F01" w:rsidP="00655C92">
      <w:pPr>
        <w:spacing w:after="0" w:line="259" w:lineRule="auto"/>
        <w:ind w:left="360" w:right="-1413" w:firstLine="0"/>
        <w:jc w:val="center"/>
      </w:pPr>
      <w:r>
        <w:rPr>
          <w:sz w:val="18"/>
        </w:rPr>
        <w:t>GOVERNMENT PRINTER, ASSEMBLY PRESS, ACCRA. GPC/A780/l</w:t>
      </w:r>
      <w:proofErr w:type="gramStart"/>
      <w:r>
        <w:rPr>
          <w:sz w:val="18"/>
        </w:rPr>
        <w:t>,250</w:t>
      </w:r>
      <w:proofErr w:type="gramEnd"/>
      <w:r>
        <w:rPr>
          <w:sz w:val="18"/>
        </w:rPr>
        <w:t>/12/2015</w:t>
      </w:r>
    </w:p>
    <w:p w:rsidR="006F686F" w:rsidRDefault="00BC6F01" w:rsidP="00655C92">
      <w:pPr>
        <w:spacing w:after="0" w:line="259" w:lineRule="auto"/>
        <w:ind w:left="360" w:right="-1413" w:firstLine="0"/>
        <w:jc w:val="center"/>
      </w:pPr>
      <w:r>
        <w:rPr>
          <w:sz w:val="14"/>
        </w:rPr>
        <w:t>Website: www.ghanapublishingcompanycom E-mail: info@ghanapublishingcompany.com</w:t>
      </w:r>
    </w:p>
    <w:sectPr w:rsidR="006F686F">
      <w:type w:val="continuous"/>
      <w:pgSz w:w="12240" w:h="16860"/>
      <w:pgMar w:top="1545" w:right="3632" w:bottom="3722" w:left="12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418" w:rsidRDefault="00C17418" w:rsidP="00655C92">
      <w:pPr>
        <w:spacing w:after="0" w:line="240" w:lineRule="auto"/>
      </w:pPr>
      <w:r>
        <w:separator/>
      </w:r>
    </w:p>
  </w:endnote>
  <w:endnote w:type="continuationSeparator" w:id="0">
    <w:p w:rsidR="00C17418" w:rsidRDefault="00C17418" w:rsidP="0065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92" w:rsidRDefault="00655C92" w:rsidP="00655C92">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418" w:rsidRDefault="00C17418" w:rsidP="00655C92">
      <w:pPr>
        <w:spacing w:after="0" w:line="240" w:lineRule="auto"/>
      </w:pPr>
      <w:r>
        <w:separator/>
      </w:r>
    </w:p>
  </w:footnote>
  <w:footnote w:type="continuationSeparator" w:id="0">
    <w:p w:rsidR="00C17418" w:rsidRDefault="00C17418" w:rsidP="0065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5pt;height:3.75pt;visibility:visible;mso-wrap-style:square" o:bullet="t">
        <v:imagedata r:id="rId1" o:title=""/>
      </v:shape>
    </w:pict>
  </w:numPicBullet>
  <w:abstractNum w:abstractNumId="0" w15:restartNumberingAfterBreak="0">
    <w:nsid w:val="00334ACC"/>
    <w:multiLevelType w:val="hybridMultilevel"/>
    <w:tmpl w:val="4D6A6784"/>
    <w:lvl w:ilvl="0" w:tplc="C4184782">
      <w:start w:val="4"/>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14C466">
      <w:start w:val="1"/>
      <w:numFmt w:val="lowerLetter"/>
      <w:lvlText w:val="%2"/>
      <w:lvlJc w:val="left"/>
      <w:pPr>
        <w:ind w:left="1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1C6B1C">
      <w:start w:val="1"/>
      <w:numFmt w:val="lowerRoman"/>
      <w:lvlText w:val="%3"/>
      <w:lvlJc w:val="left"/>
      <w:pPr>
        <w:ind w:left="2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689422">
      <w:start w:val="1"/>
      <w:numFmt w:val="decimal"/>
      <w:lvlText w:val="%4"/>
      <w:lvlJc w:val="left"/>
      <w:pPr>
        <w:ind w:left="2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FAD3E4">
      <w:start w:val="1"/>
      <w:numFmt w:val="lowerLetter"/>
      <w:lvlText w:val="%5"/>
      <w:lvlJc w:val="left"/>
      <w:pPr>
        <w:ind w:left="3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BE15C0">
      <w:start w:val="1"/>
      <w:numFmt w:val="lowerRoman"/>
      <w:lvlText w:val="%6"/>
      <w:lvlJc w:val="left"/>
      <w:pPr>
        <w:ind w:left="4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286C6E">
      <w:start w:val="1"/>
      <w:numFmt w:val="decimal"/>
      <w:lvlText w:val="%7"/>
      <w:lvlJc w:val="left"/>
      <w:pPr>
        <w:ind w:left="4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F2D826">
      <w:start w:val="1"/>
      <w:numFmt w:val="lowerLetter"/>
      <w:lvlText w:val="%8"/>
      <w:lvlJc w:val="left"/>
      <w:pPr>
        <w:ind w:left="5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A8DA9C">
      <w:start w:val="1"/>
      <w:numFmt w:val="lowerRoman"/>
      <w:lvlText w:val="%9"/>
      <w:lvlJc w:val="left"/>
      <w:pPr>
        <w:ind w:left="6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843AC8"/>
    <w:multiLevelType w:val="hybridMultilevel"/>
    <w:tmpl w:val="791CA00E"/>
    <w:lvl w:ilvl="0" w:tplc="1CE27022">
      <w:start w:val="1"/>
      <w:numFmt w:val="decimal"/>
      <w:lvlText w:val="%1."/>
      <w:lvlJc w:val="left"/>
      <w:pPr>
        <w:ind w:left="1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1EE33110"/>
    <w:multiLevelType w:val="hybridMultilevel"/>
    <w:tmpl w:val="7C8804B8"/>
    <w:lvl w:ilvl="0" w:tplc="1CE27022">
      <w:start w:val="1"/>
      <w:numFmt w:val="decimal"/>
      <w:lvlText w:val="%1."/>
      <w:lvlJc w:val="left"/>
      <w:pPr>
        <w:ind w:left="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B0208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E2EE5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1E4D8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20FFB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4E0EA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70DC6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D4B2F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E6181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5164DE8"/>
    <w:multiLevelType w:val="hybridMultilevel"/>
    <w:tmpl w:val="E708C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36261"/>
    <w:multiLevelType w:val="hybridMultilevel"/>
    <w:tmpl w:val="EFD8B9F6"/>
    <w:lvl w:ilvl="0" w:tplc="8F646286">
      <w:start w:val="1"/>
      <w:numFmt w:val="bullet"/>
      <w:lvlText w:val=""/>
      <w:lvlPicBulletId w:val="0"/>
      <w:lvlJc w:val="left"/>
      <w:pPr>
        <w:tabs>
          <w:tab w:val="num" w:pos="720"/>
        </w:tabs>
        <w:ind w:left="720" w:hanging="360"/>
      </w:pPr>
      <w:rPr>
        <w:rFonts w:ascii="Symbol" w:hAnsi="Symbol" w:hint="default"/>
      </w:rPr>
    </w:lvl>
    <w:lvl w:ilvl="1" w:tplc="16E004F6" w:tentative="1">
      <w:start w:val="1"/>
      <w:numFmt w:val="bullet"/>
      <w:lvlText w:val=""/>
      <w:lvlJc w:val="left"/>
      <w:pPr>
        <w:tabs>
          <w:tab w:val="num" w:pos="1440"/>
        </w:tabs>
        <w:ind w:left="1440" w:hanging="360"/>
      </w:pPr>
      <w:rPr>
        <w:rFonts w:ascii="Symbol" w:hAnsi="Symbol" w:hint="default"/>
      </w:rPr>
    </w:lvl>
    <w:lvl w:ilvl="2" w:tplc="C8E20EEE" w:tentative="1">
      <w:start w:val="1"/>
      <w:numFmt w:val="bullet"/>
      <w:lvlText w:val=""/>
      <w:lvlJc w:val="left"/>
      <w:pPr>
        <w:tabs>
          <w:tab w:val="num" w:pos="2160"/>
        </w:tabs>
        <w:ind w:left="2160" w:hanging="360"/>
      </w:pPr>
      <w:rPr>
        <w:rFonts w:ascii="Symbol" w:hAnsi="Symbol" w:hint="default"/>
      </w:rPr>
    </w:lvl>
    <w:lvl w:ilvl="3" w:tplc="1C647E10" w:tentative="1">
      <w:start w:val="1"/>
      <w:numFmt w:val="bullet"/>
      <w:lvlText w:val=""/>
      <w:lvlJc w:val="left"/>
      <w:pPr>
        <w:tabs>
          <w:tab w:val="num" w:pos="2880"/>
        </w:tabs>
        <w:ind w:left="2880" w:hanging="360"/>
      </w:pPr>
      <w:rPr>
        <w:rFonts w:ascii="Symbol" w:hAnsi="Symbol" w:hint="default"/>
      </w:rPr>
    </w:lvl>
    <w:lvl w:ilvl="4" w:tplc="88CC8AF8" w:tentative="1">
      <w:start w:val="1"/>
      <w:numFmt w:val="bullet"/>
      <w:lvlText w:val=""/>
      <w:lvlJc w:val="left"/>
      <w:pPr>
        <w:tabs>
          <w:tab w:val="num" w:pos="3600"/>
        </w:tabs>
        <w:ind w:left="3600" w:hanging="360"/>
      </w:pPr>
      <w:rPr>
        <w:rFonts w:ascii="Symbol" w:hAnsi="Symbol" w:hint="default"/>
      </w:rPr>
    </w:lvl>
    <w:lvl w:ilvl="5" w:tplc="C894504A" w:tentative="1">
      <w:start w:val="1"/>
      <w:numFmt w:val="bullet"/>
      <w:lvlText w:val=""/>
      <w:lvlJc w:val="left"/>
      <w:pPr>
        <w:tabs>
          <w:tab w:val="num" w:pos="4320"/>
        </w:tabs>
        <w:ind w:left="4320" w:hanging="360"/>
      </w:pPr>
      <w:rPr>
        <w:rFonts w:ascii="Symbol" w:hAnsi="Symbol" w:hint="default"/>
      </w:rPr>
    </w:lvl>
    <w:lvl w:ilvl="6" w:tplc="A6628F5A" w:tentative="1">
      <w:start w:val="1"/>
      <w:numFmt w:val="bullet"/>
      <w:lvlText w:val=""/>
      <w:lvlJc w:val="left"/>
      <w:pPr>
        <w:tabs>
          <w:tab w:val="num" w:pos="5040"/>
        </w:tabs>
        <w:ind w:left="5040" w:hanging="360"/>
      </w:pPr>
      <w:rPr>
        <w:rFonts w:ascii="Symbol" w:hAnsi="Symbol" w:hint="default"/>
      </w:rPr>
    </w:lvl>
    <w:lvl w:ilvl="7" w:tplc="EEAE37EC" w:tentative="1">
      <w:start w:val="1"/>
      <w:numFmt w:val="bullet"/>
      <w:lvlText w:val=""/>
      <w:lvlJc w:val="left"/>
      <w:pPr>
        <w:tabs>
          <w:tab w:val="num" w:pos="5760"/>
        </w:tabs>
        <w:ind w:left="5760" w:hanging="360"/>
      </w:pPr>
      <w:rPr>
        <w:rFonts w:ascii="Symbol" w:hAnsi="Symbol" w:hint="default"/>
      </w:rPr>
    </w:lvl>
    <w:lvl w:ilvl="8" w:tplc="D8D028E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E62F58"/>
    <w:multiLevelType w:val="hybridMultilevel"/>
    <w:tmpl w:val="E0B64508"/>
    <w:lvl w:ilvl="0" w:tplc="CB2AB9E4">
      <w:start w:val="1"/>
      <w:numFmt w:val="decimal"/>
      <w:lvlText w:val="%1."/>
      <w:lvlJc w:val="left"/>
      <w:pPr>
        <w:ind w:left="3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834029E">
      <w:start w:val="3"/>
      <w:numFmt w:val="decimal"/>
      <w:lvlText w:val="(%2)"/>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C2CF24">
      <w:start w:val="1"/>
      <w:numFmt w:val="lowerRoman"/>
      <w:lvlText w:val="%3"/>
      <w:lvlJc w:val="left"/>
      <w:pPr>
        <w:ind w:left="2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2477C">
      <w:start w:val="1"/>
      <w:numFmt w:val="decimal"/>
      <w:lvlText w:val="%4"/>
      <w:lvlJc w:val="left"/>
      <w:pPr>
        <w:ind w:left="3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2BF86">
      <w:start w:val="1"/>
      <w:numFmt w:val="lowerLetter"/>
      <w:lvlText w:val="%5"/>
      <w:lvlJc w:val="left"/>
      <w:pPr>
        <w:ind w:left="3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0C0D2">
      <w:start w:val="1"/>
      <w:numFmt w:val="lowerRoman"/>
      <w:lvlText w:val="%6"/>
      <w:lvlJc w:val="left"/>
      <w:pPr>
        <w:ind w:left="4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80B918">
      <w:start w:val="1"/>
      <w:numFmt w:val="decimal"/>
      <w:lvlText w:val="%7"/>
      <w:lvlJc w:val="left"/>
      <w:pPr>
        <w:ind w:left="5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7C1EBE">
      <w:start w:val="1"/>
      <w:numFmt w:val="lowerLetter"/>
      <w:lvlText w:val="%8"/>
      <w:lvlJc w:val="left"/>
      <w:pPr>
        <w:ind w:left="6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23588">
      <w:start w:val="1"/>
      <w:numFmt w:val="lowerRoman"/>
      <w:lvlText w:val="%9"/>
      <w:lvlJc w:val="left"/>
      <w:pPr>
        <w:ind w:left="6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5327B9"/>
    <w:multiLevelType w:val="hybridMultilevel"/>
    <w:tmpl w:val="43E653DA"/>
    <w:lvl w:ilvl="0" w:tplc="697C21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34ED04">
      <w:start w:val="6"/>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8D18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CF5A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1AC4E4">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12EC5C">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8B7F6">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AE44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F493E4">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6"/>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6F"/>
    <w:rsid w:val="001C0C44"/>
    <w:rsid w:val="00485874"/>
    <w:rsid w:val="00655C92"/>
    <w:rsid w:val="006F686F"/>
    <w:rsid w:val="00BC6F01"/>
    <w:rsid w:val="00C17418"/>
    <w:rsid w:val="00CC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252B"/>
  <w15:docId w15:val="{B84F34B7-40A8-43F1-9251-10E4A571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 w:line="248" w:lineRule="auto"/>
      <w:ind w:left="10" w:right="435"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0"/>
      <w:ind w:left="306"/>
      <w:jc w:val="center"/>
      <w:outlineLvl w:val="0"/>
    </w:pPr>
    <w:rPr>
      <w:rFonts w:ascii="Times New Roman" w:eastAsia="Times New Roman" w:hAnsi="Times New Roman" w:cs="Times New Roman"/>
      <w:color w:val="000000"/>
      <w:sz w:val="68"/>
    </w:rPr>
  </w:style>
  <w:style w:type="paragraph" w:styleId="Heading2">
    <w:name w:val="heading 2"/>
    <w:next w:val="Normal"/>
    <w:link w:val="Heading2Char"/>
    <w:uiPriority w:val="9"/>
    <w:unhideWhenUsed/>
    <w:qFormat/>
    <w:pPr>
      <w:keepNext/>
      <w:keepLines/>
      <w:spacing w:after="0"/>
      <w:ind w:left="10" w:right="425" w:hanging="10"/>
      <w:jc w:val="center"/>
      <w:outlineLvl w:val="1"/>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68"/>
    </w:rPr>
  </w:style>
  <w:style w:type="character" w:customStyle="1" w:styleId="Heading2Char">
    <w:name w:val="Heading 2 Char"/>
    <w:link w:val="Heading2"/>
    <w:rPr>
      <w:rFonts w:ascii="Times New Roman" w:eastAsia="Times New Roman" w:hAnsi="Times New Roman" w:cs="Times New Roman"/>
      <w:color w:val="000000"/>
      <w:sz w:val="28"/>
    </w:rPr>
  </w:style>
  <w:style w:type="paragraph" w:styleId="ListParagraph">
    <w:name w:val="List Paragraph"/>
    <w:basedOn w:val="Normal"/>
    <w:uiPriority w:val="34"/>
    <w:qFormat/>
    <w:rsid w:val="00655C92"/>
    <w:pPr>
      <w:ind w:left="720"/>
      <w:contextualSpacing/>
    </w:pPr>
  </w:style>
  <w:style w:type="paragraph" w:styleId="Header">
    <w:name w:val="header"/>
    <w:basedOn w:val="Normal"/>
    <w:link w:val="HeaderChar"/>
    <w:uiPriority w:val="99"/>
    <w:unhideWhenUsed/>
    <w:rsid w:val="00655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C92"/>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655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C92"/>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User</cp:lastModifiedBy>
  <cp:revision>4</cp:revision>
  <dcterms:created xsi:type="dcterms:W3CDTF">2019-03-26T15:47:00Z</dcterms:created>
  <dcterms:modified xsi:type="dcterms:W3CDTF">2019-05-01T20:17:00Z</dcterms:modified>
</cp:coreProperties>
</file>